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Czarnota Adam Waldemar</w:t>
      </w:r>
    </w:p>
    <w:p>
      <w:pPr>
        <w:pStyle w:val="centerParagraph"/>
      </w:pPr>
      <w:r>
        <w:rPr>
          <w:rStyle w:val="normalStyle"/>
        </w:rPr>
        <w:t xml:space="preserve">ur. 1953</w:t>
      </w:r>
    </w:p>
    <w:p>
      <w:pPr/>
      <w:r>
        <w:rPr>
          <w:rStyle w:val="normalStyle"/>
        </w:rPr>
        <w:t xml:space="preserve">polsko-australijski socjolog prawa, profesor, specjalizujący się w socjologii i filozofii prawa, członek Towarzystwa Naukowego w Toruniu od 1983 r.</w:t>
      </w:r>
    </w:p>
    <w:p/>
    <w:p>
      <w:pPr/>
      <w:r>
        <w:rPr>
          <w:rStyle w:val="normalStyle"/>
        </w:rPr>
        <w:t xml:space="preserve">Po ukończeniu szkoły średniej w Kętrzynie studiował prawo na Uniwersytecie Mikołaja Kopernika w Toruniu, uzyskując w 1982 r. stopień doktora. Był także dyrektorem naukowym Międzynarodowego Instytutu Socjologii Prawa w Oñati w latach 2013–2016 i współzałożycielem Centrum Edukacji Prawniczej i Teorii Społecznej. Od 2022 r. pełni funkcję rektora Riga Graduate School of Law. Prowadził wykłady na wielu renomowanych uczelniach, m.in. na Central European University w Budapeszcie, European University Institute we Florencji oraz Uniwersytecie w Oksfordzie. Jest zastępcą redaktora naczelnego kwartalnika „Prawo i Więź” oraz członkiem wielu towarzystw naukowych, w tym Australian Society for Legal Philosophy i International Sociological Association.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&lt;b&gt;Czarnota Adam Waldemar&lt;/b&gt;</dc:title>
  <dc:description/>
  <dc:subject/>
  <cp:keywords/>
  <cp:category/>
  <cp:lastModifiedBy/>
  <dcterms:created xsi:type="dcterms:W3CDTF">2026-07-06T05:33:33+00:00</dcterms:created>
  <dcterms:modified xsi:type="dcterms:W3CDTF">2026-07-06T05:33:33+00:00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