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Bączyk Mirosław</w:t>
      </w:r>
    </w:p>
    <w:p>
      <w:pPr>
        <w:pStyle w:val="centerParagraph"/>
      </w:pPr>
      <w:r>
        <w:rPr>
          <w:rStyle w:val="normalStyle"/>
        </w:rPr>
        <w:t xml:space="preserve">ur. 1950</w:t>
      </w:r>
    </w:p>
    <w:p>
      <w:pPr/>
      <w:r>
        <w:rPr>
          <w:rStyle w:val="normalStyle"/>
        </w:rPr>
        <w:t xml:space="preserve">prawnik, specjalista w zakresie prawa handlowego, członek Towarzystwa Naukowego w Toruniu od 1981 r.</w:t>
      </w:r>
    </w:p>
    <w:p/>
    <w:p>
      <w:pPr/>
      <w:r>
        <w:rPr>
          <w:rStyle w:val="normalStyle"/>
        </w:rPr>
        <w:t xml:space="preserve">Absolwent studiów prawniczych na Wydziale Prawa i Administracji Uniwersytetu Mikołaja Kopernika w Toruniu w 1972 r. Doktor nauk prawnych od 1979 r., habilitację w zakresie prawa cywilnego uzyskał w 1989 r., w grudniu 1990 r. został profesorem uczelnianym. Profesurę uzyskał w 2019 r. Od 1981 r. Pełnił funkcje: Rzecznika Spraw Klientów Bankowych (doradca Prezesa NBP w Warszawie), sędziego sądu apelacyjnego w Gdańsku (1991–1995) oraz arbitra sądu polubownego działającego przy Związku Banków Polskich. Członek kolegium redakcyjnego czasopisma „Państwo i Prawo” (1991–1994) oraz komitetu redakcyjnego periodyku „Prawo Bankowe” (od 1994 r.). Stypendysta rządu francuskiego i Fundacji Humboldta.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&lt;b&gt;Bączyk&lt;/b&gt; &lt;b&gt;Mirosław&lt;/b&gt;</dc:title>
  <dc:description/>
  <dc:subject/>
  <cp:keywords/>
  <cp:category/>
  <cp:lastModifiedBy/>
  <dcterms:created xsi:type="dcterms:W3CDTF">2026-07-06T05:52:31+00:00</dcterms:created>
  <dcterms:modified xsi:type="dcterms:W3CDTF">2026-07-06T05:52:31+00:00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