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Daszkiewicz Wiesław Adam</w:t>
      </w:r>
    </w:p>
    <w:p>
      <w:pPr>
        <w:pStyle w:val="centerParagraph"/>
      </w:pPr>
      <w:r>
        <w:rPr>
          <w:rStyle w:val="normalStyle"/>
        </w:rPr>
        <w:t xml:space="preserve">1927-2013</w:t>
      </w:r>
    </w:p>
    <w:p>
      <w:pPr/>
      <w:r>
        <w:rPr>
          <w:rStyle w:val="normalStyle"/>
        </w:rPr>
        <w:t xml:space="preserve">prawnik specjalizujący się w prawie karnym, członek Towarzystwa Naukowego w Toruniu w l. 1962–2013.</w:t>
      </w:r>
    </w:p>
    <w:p/>
    <w:p>
      <w:pPr/>
      <w:r>
        <w:rPr>
          <w:rStyle w:val="normalStyle"/>
        </w:rPr>
        <w:t xml:space="preserve">Studia odbył na Wydziale Prawnym i Ekonomicznym Uniwersytetu Mikołaja Kopernika w Toruniu, gdzie uzyskał doktorat w 1959 r., a następnie habilitację. W 1967 r. nadano mu tytuł profesora, po czym rozpoczął pracę na Uniwersytecie im. Adama Mickiewicza w Poznaniu w Zakładzie Postępowania Karnego. Pełnił funkcję profesora zwyczajnego w Instytucie Państwa i Prawa Polskiej Akademii Nauk, był zaangażowany w prace wielu komitetów redakcyjnych, m.in. czasopism „Ruch Prawniczy, Ekonomiczny i Socjologiczny” oraz „Państwo i Prawo”. Uczestniczył także w Komisji do spraw Reformy Prawa Karnego i Radzie Legislacyjnej przy Prezesie Rady Ministrów. Był współzałożycielem i pierwszym redaktorem naczelnym „Przeglądu Prawa Karnego”. Zmarł 13 sierpnia 2013 r. Pochowany na cmentarzu junikowskim w Poznaniu.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&lt;b&gt;Daszkiewicz Wiesław Adam&lt;/b&gt;</dc:title>
  <dc:description/>
  <dc:subject/>
  <cp:keywords/>
  <cp:category/>
  <cp:lastModifiedBy/>
  <dcterms:created xsi:type="dcterms:W3CDTF">2026-07-06T05:30:19+00:00</dcterms:created>
  <dcterms:modified xsi:type="dcterms:W3CDTF">2026-07-06T05:30:19+00:00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