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Dembek Bernard Franciszek</w:t>
      </w:r>
    </w:p>
    <w:p>
      <w:pPr>
        <w:pStyle w:val="centerParagraph"/>
      </w:pPr>
      <w:r>
        <w:rPr>
          <w:rStyle w:val="normalStyle"/>
        </w:rPr>
        <w:t xml:space="preserve">1878-1937</w:t>
      </w:r>
    </w:p>
    <w:p>
      <w:pPr/>
      <w:r>
        <w:rPr>
          <w:rStyle w:val="normalStyle"/>
        </w:rPr>
        <w:t xml:space="preserve">ksiądz katolicki, biskup sufragan łomżyński, działacz społeczny i narodowy, członek zwyczajny Towarzystwa Naukowego w Toruniu w l. 1903–1937.</w:t>
      </w:r>
    </w:p>
    <w:p/>
    <w:p>
      <w:pPr/>
      <w:r>
        <w:rPr>
          <w:rStyle w:val="normalStyle"/>
        </w:rPr>
        <w:t xml:space="preserve">Urodził się w Bartodziejach (ob. dzielnica Bydgoszczy). Jako kleryk sądzony był w &amp;bdquo;procesie toruńskim&amp;rdquo; 1901 r. z uwagi na swoją działalność filomacką. Święcenia kapłańskie uzyskał w 1903 r., a osiem lat p&amp;oacute;źniej objął parafię w Nawrze. Opr&amp;oacute;cz działalności duszpasterskiej był czynnym działaczem Towarzystwa Czytelni Ludowych, kt&amp;oacute;rego zadaniem była walka z germanizacją za pomocą czytelnictwa. Obejmował wiele stanowisk, był m.in. prezesem komitetu TCL na pow. toruński w l. 1911&amp;ndash;1918 oraz r&amp;oacute;wnolegle członkiem Zarządu i Rady Gł&amp;oacute;wnej TCL w Poznaniu w l. 1911&amp;ndash;1930. Działał w polskim ruchu wyborczym jako zastępca prezesa Rady Ludowej w Chełmży oraz delegat na Sejm Dzielnicowy w Poznaniu w 1918 r. Po odzyskaniu przez Polskę niepodległości został proboszczem parafii pw. św. Mikołaja w Grudziądzu w 1920 r., gdzie zaangażował się w rozw&amp;oacute;j moralny i repolonizację miasta. Należał do Rady Miejskiej, Szkolnej, Szpitalnej i Towarzystwa Upiększania Miasta. W 1930 r. papież Pius XI mianował go biskupem tytularnym Troady i sufraganem łomżyńskim.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Dembek Bernard Franciszek</dc:title>
  <dc:description/>
  <dc:subject/>
  <cp:keywords/>
  <cp:category/>
  <cp:lastModifiedBy/>
  <dcterms:created xsi:type="dcterms:W3CDTF">2026-03-07T08:45:06+00:00</dcterms:created>
  <dcterms:modified xsi:type="dcterms:W3CDTF">2026-03-07T08:45:06+00:00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