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Derc Jakub</w:t>
      </w:r>
    </w:p>
    <w:p>
      <w:pPr>
        <w:pStyle w:val="centerParagraph"/>
      </w:pPr>
      <w:r>
        <w:rPr>
          <w:rStyle w:val="normalStyle"/>
        </w:rPr>
        <w:t xml:space="preserve">1839-1908</w:t>
      </w:r>
    </w:p>
    <w:p>
      <w:pPr/>
      <w:r>
        <w:rPr>
          <w:rStyle w:val="normalStyle"/>
        </w:rPr>
        <w:t xml:space="preserve">ksiądz katolicki, proboszcz w Wabczu i Prątnicy, członek zwyczajny Towarzystwa Naukowego w Toruniu w l. 1881–1908.</w:t>
      </w:r>
    </w:p>
    <w:p/>
    <w:p>
      <w:pPr/>
      <w:r>
        <w:rPr>
          <w:rStyle w:val="normalStyle"/>
        </w:rPr>
        <w:t xml:space="preserve">Urodziła się we wsi Gnieżdżewo k. Pucka w rodzinie chłopskiej Jakuba i Konstancji. Uczęszczał do Królewskiego Katolickiego Gimnazjum Męskiego w Chełmnie, które ukończył w 1861 r. Naukę kontynuował w Seminarium Duchownym w Pelplinie, gdzie w 1865 r. otrzymał święcenia kapłańskie. Pełnił funkcje wikarego w Brodnicy i Nieżywięciu oraz administratora w Wąbrzeźnie. Był prokuratorem seminarium w Pelplinie (1868–1869). Pełnił obowiązki proboszcza w parafii w Wabczu (1869–1889), skąd został w 1889 r. przeniesiony do Prątnicy. Podczas sprawowania posługi kapłańskiej wsparł finansowo projekt powstania lokalnego wikariatu na terenie swojej parafii (w Glaznotach w 1903 r.). Członek Stowarzyszenia „Straż” (1905). Zmarł w 1908 r. w Gdańsku. Pochowany na cmentarzu parafialnym w Prątnicy.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&lt;b&gt;Derc Jakub&lt;/b&gt;</dc:title>
  <dc:description/>
  <dc:subject/>
  <cp:keywords/>
  <cp:category/>
  <cp:lastModifiedBy/>
  <dcterms:created xsi:type="dcterms:W3CDTF">2026-07-06T05:34:58+00:00</dcterms:created>
  <dcterms:modified xsi:type="dcterms:W3CDTF">2026-07-06T05:34:58+00:00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