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Doering Jan</w:t>
      </w:r>
    </w:p>
    <w:p>
      <w:pPr>
        <w:pStyle w:val="centerParagraph"/>
      </w:pPr>
      <w:r>
        <w:rPr>
          <w:rStyle w:val="normalStyle"/>
        </w:rPr>
        <w:t xml:space="preserve">1850-1919</w:t>
      </w:r>
    </w:p>
    <w:p>
      <w:pPr/>
      <w:r>
        <w:rPr>
          <w:rStyle w:val="normalStyle"/>
        </w:rPr>
        <w:t xml:space="preserve">ksiądz katolicki, pisarz, działacz społeczny i narodowy, członek zwyczajny Towarzystwa Naukowego w Toruniu od 1899 r., od 1917 r. członek dożywotni.</w:t>
      </w:r>
    </w:p>
    <w:p/>
    <w:p>
      <w:pPr/>
      <w:r>
        <w:rPr>
          <w:rStyle w:val="normalStyle"/>
        </w:rPr>
        <w:t xml:space="preserve">Urodził się w Chełmnie. Po uzyskaniu święceń kapłańskich w 1874 r. otrzymał pracę w Wabczu, jednak z racji Kulturkampfu władze pruskie uznały ją za nielegalną. Ścigany, wyemigrował w 1876 r. do Francji, gdzie pracował w duszpasterstwie w Paryżu przy kościele św. Jerzego. Związawszy się z emigracją polską obozu Adama Jerzego Czartoryskiego, wygłaszał patriotyczne kazania w Montmorency. Przem&amp;oacute;wienie wygłoszone przez niego w 1883 r. podczas żałobnego pochodu ku czci J. Niemcewicza, K. Kniaziewicza i A. Mickiewicza opublikował w Polsce. W 1884 r. powr&amp;oacute;cił z Francji, aby objąć parafię w Boluminku, a następnie w 1897 r. parafię w Brodnicy. Od tej pory brał czynny udział w towarzystwach społecznych, politycznych i kulturalnych. Przechowywał bibliotekę filomat&amp;oacute;w brodnickich. Był członkiem TNT, w 1908 r. założył Dom Katolicki, kt&amp;oacute;ry stał się ośrodkiem życia kulturowego i narodowego miasta. Napisał wiele powieści dla ludu opublikowanych w &amp;bdquo;Pielgrzymie&amp;rdquo; w l. 1879&amp;ndash;1884. Będąc działaczem Powiatowej Rady Ludowej w l. 1918&amp;ndash;1919 wspierał sprawę niepodległościową.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Doering Jan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