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Duda Franciszek</w:t>
      </w:r>
    </w:p>
    <w:p>
      <w:pPr>
        <w:pStyle w:val="centerParagraph"/>
      </w:pPr>
      <w:r>
        <w:rPr>
          <w:rStyle w:val="normalStyle"/>
        </w:rPr>
        <w:t xml:space="preserve">1878-1945</w:t>
      </w:r>
    </w:p>
    <w:p>
      <w:pPr/>
      <w:r>
        <w:rPr>
          <w:rStyle w:val="normalStyle"/>
        </w:rPr>
        <w:t xml:space="preserve">historyk, archiwista, dyrektor Archiwum Ziemskiego/Archiwum Państwowego w Krakowie (1924–1939), członek Towarzystwa Naukowego w Toruniu od 1909 r.</w:t>
      </w:r>
    </w:p>
    <w:p/>
    <w:p>
      <w:pPr/>
      <w:r>
        <w:rPr>
          <w:rStyle w:val="normalStyle"/>
        </w:rPr>
        <w:t xml:space="preserve">Urodził się w Suchej Górnej na Śląsku Cieszyńskim. Aktywny działacz tajnych patriotycznych organizacji funkcjonujących na terenach zaboru rosyjskiego. Był stypendystą Akademii Umiejętności (1908–1909), w której zdobywał pierwsze doświadczenia archiwalne, a od 1917 r. współpracował z jej Komisją Historyczną. Następnie był związany zawodowo z Archiwum Krajowym Aktów Grodzkich i Ziemskich w Krakowie (od 1919 r. Archiwum Ziemskim). W l. 1919–1924 pełnił obowiązki dyrektora Archiwum Ziemskiego, a do 1939 r. był jego dyrektorem (w 1936 r. zmieniło nazwę na Archiwum Państwowe). W 1928 r. otrzymał nominację do Rady Archiwalnej przy Naczelnym Dyrektorze Archiwów Państwowych. Współpracował z Biurem prac kongresowych i Delegacją polską na Kongres Wersalski – należał do Komisji ds. windykacji akt od Austrii, od 1922 r. był jej sekretarzem. W 1925 r. brał udział w polsko-czeskich rozmowach dotyczących podziału archiwaliów Śląska Cieszyńskiego, Spisza i Orawy. Przygotował kilka katalogów, m.in. depozytów archiwalnych miast zachodniogalicyjskich, inwentarze ksiąg ziemskich krakowskich przełomu XIV i XV w. W jego dorobku naukowym, częściowo pozostawionym w rękopisach, znajdują się zarówno prace historyczne, archiwoznawcze, jak i edycje źródeł (m.in. ksiąg sądowych).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&lt;b&gt;Duda Franciszek&lt;/b&gt;</dc:title>
  <dc:description/>
  <dc:subject/>
  <cp:keywords/>
  <cp:category/>
  <cp:lastModifiedBy/>
  <dcterms:created xsi:type="dcterms:W3CDTF">2026-07-06T05:58:22+00:00</dcterms:created>
  <dcterms:modified xsi:type="dcterms:W3CDTF">2026-07-06T05:58:22+00:00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