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Fijałek Jan</w:t>
      </w:r>
    </w:p>
    <w:p>
      <w:pPr>
        <w:pStyle w:val="centerParagraph"/>
      </w:pPr>
      <w:r>
        <w:rPr>
          <w:rStyle w:val="normalStyle"/>
        </w:rPr>
        <w:t xml:space="preserve">1864-1936</w:t>
      </w:r>
    </w:p>
    <w:p>
      <w:pPr/>
      <w:r>
        <w:rPr>
          <w:rStyle w:val="normalStyle"/>
        </w:rPr>
        <w:t xml:space="preserve">ksiądz, historyk Kościoła, historyk kultury, rektor Uniwersytetu Lwowskiego (1903/1904), członek Towarzystwa Naukowego w Toruniu w l. 1898–1909.</w:t>
      </w:r>
    </w:p>
    <w:p/>
    <w:p>
      <w:pPr/>
      <w:r>
        <w:rPr>
          <w:rStyle w:val="normalStyle"/>
        </w:rPr>
        <w:t xml:space="preserve">Urodził się w Pogwizdowie k. Bochni. W 1887 r. otrzymał święcenia kapłańskie. Był katechetą i nauczycielem historii w krakowskich gimnazjach. Jednocześnie wykładał na Uniwersytecie Jagiellońskim (1893–1896, 1912–1930), w roku akademickim 1914/1915 był dziekanem Wydziału Teologicznego. W l. 1896–1912 związany z Uniwersytetem Lwowskim, gdzie pełnił funkcje: dziekana Wydziału Teologicznego (1901/1902), rektora i prorektora (1904/1905). Redagował czasopisma „Polonia Sacra” oraz „Nova Polonia Sacra”. Inicjował i prowadził kwerendy w archiwach rzymskich, m.in. w zbiorach Archiwum Watykańskiego. Od 1926 r. pełnił obowiązki kanonika kapituły katedralnej krakowskiej. Był członkiem Akademii Umiejętności (1903 – członek korespondent, 1919 – członek czynny) i Polskiej Akademii Umiejętności – przewodniczył m.in. jej Komisji Historycznej. Należał do wielu towarzystw naukowych. W 1928 r. został członkiem honorowym Polskiego Towarzystwa Teologicznego, a w 1932 r. Towarzystwa Przyjaciół Nauk w Wilnie. Badał m.in. dzieje UJ, ustawodawstwa kościelnego, przygotowywał edycje źródeł, opracował też instrukcję wydawniczą dla średniowiecznych źródeł historycznych.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&lt;b&gt;Fijałek Jan&lt;/b&gt;</dc:title>
  <dc:description/>
  <dc:subject/>
  <cp:keywords/>
  <cp:category/>
  <cp:lastModifiedBy/>
  <dcterms:created xsi:type="dcterms:W3CDTF">2026-01-10T01:06:59+00:00</dcterms:created>
  <dcterms:modified xsi:type="dcterms:W3CDTF">2026-01-10T01:06:59+00:00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