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Gajdus Danuta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prawniczka, specjalistka z zakresu prawa karnego, członkini Towarzystwa Naukowego w Toruniu od 1974 r.</w:t>
      </w:r>
    </w:p>
    <w:p/>
    <w:p>
      <w:pPr/>
      <w:r>
        <w:rPr>
          <w:rStyle w:val="normalStyle"/>
        </w:rPr>
        <w:t xml:space="preserve">Ukończyła II Liceum Ogólnokształcące w Grudziądzu oraz studia prawnicze na Uniwersytecie Mikołaja Kopernika w Toruniu, na którym w 1981 r. obroniła doktorat pod kierunkiem prof. Andrzeja Marka. W l. 1973–1997 pracowała w Katedrze Prawa Karnego UMK. Członkini stowarzyszeń L&amp;amp;#039;Association Internationale de Droit Penal, Stowarzyszenia Prawa Karnego oraz Włocławskiego Towarzystwa Naukowego.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&lt;b&gt;Gajdus&lt;/b&gt;&lt;b&gt; Danuta&lt;/b&gt;</dc:title>
  <dc:description/>
  <dc:subject/>
  <cp:keywords/>
  <cp:category/>
  <cp:lastModifiedBy/>
  <dcterms:created xsi:type="dcterms:W3CDTF">2026-01-10T01:06:58+00:00</dcterms:created>
  <dcterms:modified xsi:type="dcterms:W3CDTF">2026-01-10T01:06:58+00:00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