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Galster Jan Krzysztof </w:t>
      </w:r>
    </w:p>
    <w:p>
      <w:pPr>
        <w:pStyle w:val="centerParagraph"/>
      </w:pPr>
      <w:r>
        <w:rPr>
          <w:rStyle w:val="normalStyle"/>
        </w:rPr>
        <w:t xml:space="preserve">1954-2020</w:t>
      </w:r>
    </w:p>
    <w:p>
      <w:pPr/>
      <w:r>
        <w:rPr>
          <w:rStyle w:val="normalStyle"/>
        </w:rPr>
        <w:t xml:space="preserve">prawnik, profesor nauk prawnych, specjalizujący się w prawie konstytucyjnym, członek Towarzystwa Naukowego w Toruniu w l. 1984-2020.</w:t>
      </w:r>
    </w:p>
    <w:p/>
    <w:p>
      <w:pPr/>
      <w:r>
        <w:rPr>
          <w:rStyle w:val="normalStyle"/>
        </w:rPr>
        <w:t xml:space="preserve">Ukończył studia prawnicze na Uniwersytecie Mikołaja Kopernika w Toruniu w 1977 r. Stopień doktora nauk prawnych uzyskał w 1983 r. W 1995 r. zdobył habilitację, a w 2009 r. tytuł profesora nauk prawnych. Pełnił funkcję kierownika Katedry Prawa Europejskiego UMK, był także profesorem zwyczajnym uczelni. Przyczynił się do rozwoju polskiego prawa konstytucyjnego. Członek Włocławskiego Towarzystwa Naukowego. Spoczywa na cmentarzu w Chełmicy Dużej koło Włocławka.</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&lt;b&gt;Galster&lt;/b&gt; &lt;b&gt;Jan Krzysztof &lt;/b&gt;</dc:title>
  <dc:description/>
  <dc:subject/>
  <cp:keywords/>
  <cp:category/>
  <cp:lastModifiedBy/>
  <dcterms:created xsi:type="dcterms:W3CDTF">2026-01-10T01:06:18+00:00</dcterms:created>
  <dcterms:modified xsi:type="dcterms:W3CDTF">2026-01-10T01:06:18+00:00</dcterms:modified>
</cp:coreProperties>
</file>

<file path=docProps/custom.xml><?xml version="1.0" encoding="utf-8"?>
<Properties xmlns="http://schemas.openxmlformats.org/officeDocument/2006/custom-properties" xmlns:vt="http://schemas.openxmlformats.org/officeDocument/2006/docPropsVTypes"/>
</file>