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Grabski Lucjan</w:t>
      </w:r>
    </w:p>
    <w:p>
      <w:pPr>
        <w:pStyle w:val="centerParagraph"/>
      </w:pPr>
      <w:r>
        <w:rPr>
          <w:rStyle w:val="normalStyle"/>
        </w:rPr>
        <w:t xml:space="preserve">1842-1900</w:t>
      </w:r>
    </w:p>
    <w:p>
      <w:pPr/>
      <w:r>
        <w:rPr>
          <w:rStyle w:val="normalStyle"/>
        </w:rPr>
        <w:t xml:space="preserve">przedsiębiorca, działacz społeczno-polityczny i gospodarczy, członek zwyczajny Towarzystwa Naukowego w Toruniu w l. 1897–1900.</w:t>
      </w:r>
    </w:p>
    <w:p/>
    <w:p>
      <w:pPr/>
      <w:r>
        <w:rPr>
          <w:rStyle w:val="normalStyle"/>
        </w:rPr>
        <w:t xml:space="preserve">Urodził się 6 stycznia 1842 r. w Skotnikach (pow. inowrocławski), w rodzinie ziemiańskiej Stefana i Marii z Paszkowskich. Ukończył szkoły wojskowe w Chełmnie i Berlinie, służył w pruskiej kawalerii jako oficer. Zrezygnował z kariery wojskowej na rzecz prowadzenia majątku ziemskiego w Targownicy (pow. mogileński). W 1873 r. sprzedał majątek i przeniósł się do Inowrocławia, gdzie wspólnie z bratem Józefem oraz Zygmuntem Wilkońskim założył młyn parowy. Był również udziałowcem i członkiem Rady Nadzorczej towarzystwa akcyjnego „Solanki Inowrocławskie”, wnosząc istotny wkład w rozwój uzdrowiska w Inowrocławiu. W 1881 r. został dyrektorem cukrowni w Kruszwicy. Był wieloletnim radnym miejskim w Inowrocławiu, członkiem Wydziału Powiatowego, Bydgoskiej Izby Handlowej oraz aktywnym działaczem lokalnych organizacji rolniczych. Zmarł 26 sierpnia 1900 r. podczas kuracji w Bad Wildungen. Pochowany w Inowrocławiu.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&lt;b&gt;Grabski Lucjan&lt;/b&gt;</dc:title>
  <dc:description/>
  <dc:subject/>
  <cp:keywords/>
  <cp:category/>
  <cp:lastModifiedBy/>
  <dcterms:created xsi:type="dcterms:W3CDTF">2026-03-07T06:55:49+00:00</dcterms:created>
  <dcterms:modified xsi:type="dcterms:W3CDTF">2026-03-07T06:55:49+00:00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