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Gronowski Wacław Szczęsny</w:t>
      </w:r>
    </w:p>
    <w:p>
      <w:pPr>
        <w:pStyle w:val="centerParagraph"/>
      </w:pPr>
      <w:r>
        <w:rPr>
          <w:rStyle w:val="normalStyle"/>
        </w:rPr>
        <w:t xml:space="preserve">1923-2012</w:t>
      </w:r>
    </w:p>
    <w:p>
      <w:pPr/>
      <w:r>
        <w:rPr>
          <w:rStyle w:val="normalStyle"/>
        </w:rPr>
        <w:t xml:space="preserve">prawnik, doktor habilitowany nauk prawnych, nauczyciel akademicki wielu uczelni, w tym profesor nadzwyczajny Uniwersytetu Warszawskiego, specjalista w zakresie prawa finansowego, członek Towarzystwa Naukowego w Toruniu od 1950 r.</w:t>
      </w:r>
    </w:p>
    <w:p/>
    <w:p>
      <w:pPr/>
      <w:r>
        <w:rPr>
          <w:rStyle w:val="normalStyle"/>
        </w:rPr>
        <w:t xml:space="preserve">Od lat 50. XX wieku związany z Wydziałem Prawa i Administracji Uniwersytetu Warszawskiego, na którym przez wiele lat pełnił funkcję dyrektora Instytutu Nauk Prawno-Administracyjnych oraz był pracownikiem Katedry Prawa Finansowego. Wykładał również na Wydziale Prawa Kanonicznego Uniwersytetu Kardynała Stefana Wyszyńskiego oraz w Wyższej Szkole Przedsiębiorczości i Zarządzania im. Leona Koźmińskiego w Warszawie. Zmarł 16 grudnia 2012 r. w Warszawie. Pochowany 28 grudnia 2012 r. na cmentarzu Bródnowskim (kwatera 114M-3-6).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Gronowski Wacław Szczęsny</dc:title>
  <dc:description/>
  <dc:subject/>
  <cp:keywords/>
  <cp:category/>
  <cp:lastModifiedBy/>
  <dcterms:created xsi:type="dcterms:W3CDTF">2026-03-07T08:42:14+00:00</dcterms:created>
  <dcterms:modified xsi:type="dcterms:W3CDTF">2026-03-07T08:42:14+00:00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