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Jaśkowski Stanisław</w:t>
      </w:r>
    </w:p>
    <w:p>
      <w:pPr>
        <w:pStyle w:val="centerParagraph"/>
      </w:pPr>
      <w:r>
        <w:rPr>
          <w:rStyle w:val="normalStyle"/>
        </w:rPr>
        <w:t xml:space="preserve">1906-1965</w:t>
      </w:r>
    </w:p>
    <w:p>
      <w:pPr/>
      <w:r>
        <w:rPr>
          <w:rStyle w:val="normalStyle"/>
        </w:rPr>
        <w:t xml:space="preserve">matematyk, logik, profesor i rektor Uniwersytetu Mikołaja Kopernika w Toruniu, członek zwyczajny Towarzystwa Naukowego w Toruniu w l. 1945–1965.</w:t>
      </w:r>
    </w:p>
    <w:p/>
    <w:p>
      <w:pPr/>
      <w:r>
        <w:rPr>
          <w:rStyle w:val="normalStyle"/>
        </w:rPr>
        <w:t xml:space="preserve">Urodził się w Warszawie w rodzinie ziemiańskiej Feliksa Marcina i Kazimiery Dzierzbickiej. W 1924 r. uzyskał świadectwo dojrzałości w Państwowym Gimnazjum Realnym w Zakopanem i podjął studia matematyczne na Wydziale Filozoficznym Uniwersytetu Warszawskiego, gdzie uczęszczał na seminarium logiki matematycznej prof. Jana Łukasiewicza, jednego z twórców polskiej szkoły logicznej. Już jako student wyróżniał się aktywnością naukową – uczestniczył w zjazdach matematyków polskich we Lwowie (1927) i Wilnie (1931). Był członkiem Polskiej Korporacji Akademickiej Patria w Warszawie; w roku akademickim 1930/1931 pełnił funkcję wiceprezesa tej organizacji. W roku akademickim 1929/1930 ze względów zdrowotnych przerwał studia, które ukończył w 1932 r., uzyskując na podstawie rozprawy „Reguły wnioskowania z pomocą założeń” napisanej pod kierunkiem J. Łukasiewicza doktorat z filozofii. Jego praca dyplomowa dotyczyła systemu założeń logiki formalnej. Do wybuchu wojny w 1939 r. pracował na UW. Po rozpoczęciu konfliktu zgłosił się na ochotnika do wojska i brał udział w obronie Warszawy. W czasie wojny początkowo przebywał we własnym majątku w Wólce, a następnie w Chociwiu. Po zakończeniu wojny, od kwietnia do września 1945 r., prowadził wykłady zlecone na nowo powstającym Uniwersytecie Łódzkim. W październiku tego samego roku na podstawie rozprawy „Trzy przyczynki do dwuwartościowego rachunku zdań” uzyskał venia legendi na Uniwersytecie Jagiellońskim. Jesienią 1945 r. przeniósł się na Wydział Matematyczno-Przyrodniczy UMK, w lipcu 1946 r. otrzymał tytuł profesora nadzwyczajnego. Na UMK objął stanowisko kierownika Katedry Logiki Matematycznej i zorganizował Seminarium Matematyczne, a następnie kierował Katedrą Matematyki (do 1965). Pełnił również liczne funkcje administracyjne: przewodniczył Komisji Egzaminacyjnej Wydziału Matematyczno-Przyrodniczego (1946–1951), był prodziekanem (1952–1953) oraz dziekanem Wydziału Matematyki, Fizyki i Chemii (1953–1954). Jako prorektor ds. nauki (1956–1959) i rektor uczelni (1959–1962) znacząco przyczynił się do wzmocnienia pozycji uniwersytetu. Od 1950 r. pracował w Instytucie Matematycznym Polskiej Akademii Nauk, gdzie wypromował swojego pierwszego doktora, Lecha Dubikajtisa, a także w Wyższej Szkole Pedagogicznej w Gdańsku. W 1957 r. otrzymał tytuł profesora zwyczajnego. Był współzałożycielem i pierwszym prezesem toruńskiego oddziału Polskiego Towarzystwa Matematycznego. W l. 1957–1959 pełnił funkcję radnego Wojewódzkiej Rady Narodowej w Bydgoszczy. Należał do komitetu redakcyjnego czasopisma „Studia Logica”. Jego badania koncentrowały się na logice matematycznej, podstawach geometrii oraz teorii symetrii, ze szczególnym uwzględnieniem jej zastosowań w krystalografii i zdobnictwie. Te nowatorskie prace przyczyniły się do rozwoju nowych dziedzin matematyki. Zapoczątkował również badania, które doprowadziły do odkrycia dwóch kluczowych osiągnięć w zakresie rozmaitości algebraicznych. Poza działalnością naukową i organizacyjną aktywnie popularyzował wiedzę. Wydał książki O symetrii i zdobnictwie w przyrodzie (1952) oraz Matematyka ornamentu (1957), a także pracował nad programem nauczania matematyki w szkołach średnich. Zmarł w Warszawie po długiej chorobie. Pochowany na Cmentarzu Stare Powązki.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&lt;b&gt;Jaśkowski Stanisław&lt;/b&gt;</dc:title>
  <dc:description/>
  <dc:subject/>
  <cp:keywords/>
  <cp:category/>
  <cp:lastModifiedBy/>
  <dcterms:created xsi:type="dcterms:W3CDTF">2026-03-07T10:02:59+00:00</dcterms:created>
  <dcterms:modified xsi:type="dcterms:W3CDTF">2026-03-07T10:02:59+00:00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