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Jakub</w:t>
      </w:r>
    </w:p>
    <w:p>
      <w:pPr>
        <w:pStyle w:val="centerParagraph"/>
      </w:pPr>
      <w:r>
        <w:rPr>
          <w:rStyle w:val="normalStyle"/>
        </w:rPr>
        <w:t xml:space="preserve">1849-1927</w:t>
      </w:r>
    </w:p>
    <w:p>
      <w:pPr/>
      <w:r>
        <w:rPr>
          <w:rStyle w:val="normalStyle"/>
        </w:rPr>
        <w:t xml:space="preserve">ksiądz katolicki, biskup sufragan chełmiński, działacz narodowy, doktor prawa kanonicznego, asystent tronu papieskiego, członek zwyczajny Towarzystwa Naukowego w Toruniu w l. 1897–1927.</w:t>
      </w:r>
    </w:p>
    <w:p/>
    <w:p>
      <w:pPr/>
      <w:r>
        <w:rPr>
          <w:rStyle w:val="normalStyle"/>
        </w:rPr>
        <w:t xml:space="preserve">Urodził się w Koślince (ob. dzielnica Tucholi). Wysłany został na studia do Rzymu, gdzie otrzymał tytuł doktora prawa kanonicznego. Z racji kulturkampfu po otrzymaniu święceń w 1876 r. nie m&amp;oacute;gł znaleźć zatrudnienia. Po złagodzeniu represji wr&amp;oacute;cił z Bawarii, gdzie oddawał się pracy duszpasterskiej i w 1884 r. został wikarym w Pucku. Po roku służby objął parafię w Nidzicy. W 1889 r. otrzymał posadę proboszcza i ostatecznie dziekana kościoła Najświętszej Marii Panny w Toruniu. W 1905 r. został zainstalowany jako kanonik Kapituły Katedralnej w Pelplinie, a wkr&amp;oacute;tce potem otrzymał nominację na radcę duchownego przy Konsystorzu Biskupim i kaznodzieję tumskiego. Dwa lata p&amp;oacute;źniej przyjął godność biskupa tytularnego Selimbria oraz sufragana chełmińskiego. Był wymieniany wśr&amp;oacute;d księży agitator&amp;oacute;w polskości. Ustanowił wiele fundacji, m.in. na rzecz Collegium Marianum w Pelplinie. Od 1918 r., mimo podeszłego wieku, brał udział w obradach konferencji Episkopatu Polski. W 1925 r. wskutek decyzji Piusa XI został zwolniony z obowiązk&amp;oacute;w sufragana i objął stanowisko asystenta tronu papieskiego.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Klunder Jakub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