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Tomasz</w:t>
      </w:r>
    </w:p>
    <w:p>
      <w:pPr>
        <w:pStyle w:val="centerParagraph"/>
      </w:pPr>
      <w:r>
        <w:rPr>
          <w:rStyle w:val="normalStyle"/>
        </w:rPr>
        <w:t xml:space="preserve">1885-1939</w:t>
      </w:r>
    </w:p>
    <w:p>
      <w:pPr/>
      <w:r>
        <w:rPr>
          <w:rStyle w:val="normalStyle"/>
        </w:rPr>
        <w:t xml:space="preserve">ziemianin, działacz społeczno-polityczny, właściciel majątków ziemskich w Nieżychowie (pow. wyrzyski), Komierowie (pow. sępoleński) i Różance (pow. włodawski), członek zwyczajny Towarzystwa Naukowego w Toruniu od 1927 r.</w:t>
      </w:r>
    </w:p>
    <w:p/>
    <w:p>
      <w:pPr/>
      <w:r>
        <w:rPr>
          <w:rStyle w:val="normalStyle"/>
        </w:rPr>
        <w:t xml:space="preserve">Urodził się 15 października 1885 r. w Nieżychowie (pow. wyrzyski), w rodzinie ziemiańskiej Romana i Marii z Kurnatowskich. Po ukończeniu Akademii Leśnej w Eberswalde oraz praktyce rolniczej stopniowo przejmował zarząd nad folwarkami powierzanymi mu przez ojca. Był zaangażowanym działaczem lokalnym &amp;ndash; członkiem Wydziału Powiatowego, a następnie Sejmiku Powiatowego w Sęp&amp;oacute;lnie Krajeńskim. Organizował tam struktury Związku Obrony Kres&amp;oacute;w Zachodnich. W l. 1930&amp;ndash;1932 był prezesem Pomorskiego Związku Ziemian, w l. 1929&amp;ndash;1937 prezesem Pomorskiego Towarzystwa Łowieckiego, a po jego rozwiązaniu wszedł w struktury Zarządu Wojew&amp;oacute;dzkiej Rady Łowieckiej PZŁ. W działalności politycznej w l. 1925&amp;ndash;1926 przewodził Organizacji Monarchistycznej na Pomorzu, p&amp;oacute;źniej związał się z konserwatystami z Chrześcijańskiego Stronnictwa Rolniczego. Mianowany tajnym szambelanem papieskim przez papieża Piusa XI. Zginął rozstrzelany przez Niemc&amp;oacute;w 4 września 1939 r. Ekshumowany i pochowany po wojnie przez syna na cmentarzu w rodzinnym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Komierowski Tomasz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