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Koranyi Karol Wilhelm</w:t>
      </w:r>
    </w:p>
    <w:p>
      <w:pPr>
        <w:pStyle w:val="centerParagraph"/>
      </w:pPr>
      <w:r>
        <w:rPr>
          <w:rStyle w:val="normalStyle"/>
        </w:rPr>
        <w:t xml:space="preserve">1897-1964</w:t>
      </w:r>
    </w:p>
    <w:p>
      <w:pPr/>
      <w:r>
        <w:rPr>
          <w:rStyle w:val="normalStyle"/>
        </w:rPr>
        <w:t xml:space="preserve">historyk prawa, profesor  i rektor Uniwersytetu Mikołaja Kopernika w Toruniu, członek zwyczajny Towarzystwa Naukowego w Toruniu w l. 1946–1964.</w:t>
      </w:r>
    </w:p>
    <w:p/>
    <w:p>
      <w:pPr/>
      <w:r>
        <w:rPr>
          <w:rStyle w:val="normalStyle"/>
        </w:rPr>
        <w:t xml:space="preserve">Urodził się we Lwowie jako syn Michała, urzędnika bankowego, oraz Katarzyny Bleich. W rodzinnym mieście ukończył szkołę powszechną oraz VII Gimnazjum. W 1915 r.  rozpoczął studia prawnicze na Uniwersytecie im. Cesarza Franciszka I we Lwowie. W 1916 r. przerwał naukę z powodu pierwszej wojny światowej. Walczył w armii austriackiej na frontach włoskim i francuskim. W l. 1915–1916 przez cztery semestry studiował także prawo na Uniwersytecie w Wiedniu. Po odzyskaniu przez Polskę niepodległości wstąpił do Wojska Polskiego. Po demobilizacji kontynuował studia prawnicze, uzyskując w 1922 r. stopień doktora prawa. Równocześnie studiował historię i etnografię na Wydziale Filozoficznym Uniwersytetu Jana Kazimierza we Lwowie (1922–1926). Z tą uczelnią był związany w l. 1923–1939 – jako asystent wolontariusz, starszy asystent, a od 1931 r. docent etatowy po habilitacji na podstawie rozprawy pt. „Podstawy średniowiecznego prawa spadkowego”. W 1939 r. uczelnia złożyła wniosek o tytuł profesora, ale jego rozpatrzenie uniemożliwił wybuch drugiej wojny światowej. W l. 1939–1945, z przerwą 1941–1944, kiedy się ukrywał, pracował na Lwowskim Państwowym Uniwersytecie im. Iwana Franki, prowadzonym przez władze sowieckie. W 1945 r. władze sowieckie zatwierdziły mu stopień doktora prawa i nadały tytuł profesora. W końcu 1945 r. został powołany do pracy na nowo utworzonym Uniwersytecie Mikołaja Kopernika w Toruniu, jako kierownik Katedry Historii Prawa na Zachodzie Europy na Wydziale Prawno-Ekonomicznym. W 1946 r. otrzymał tytuł profesora zwyczajnego. Na UMK pełnił funkcje prorektora (1947/1948) i rektora (1948–1952). Od 1949 r. związany także z Uniwersytetem Warszawskim, gdzie objął Katedrę Powszechnej Historii Państwa i Prawa (do 1964) na Wydziale Prawa oraz prowadził zajęcia w Centralnej Szkole Prawniczej im. T. Duracza. W l. 1952–1954 kierował Instytutem Historii Prawa. Należał do wielu towarzystw, w tym Lwowskiego Towarzystwa Naukowego, Poznańskiego Towarzystwa Przyjaciół Nauk, Komisji Prawniczej Polskiej Akademii Umiejętności, Komitetu Nauk Prawnych Polskiej Akademii Nauk, Polskiego Towarzystwa Ludoznawczego. Współpracował z „Czasopismem-Historyczno-Prawnym”. Autor 328 prac naukowych, w tym monografii, skryptów, podręczników i recenzji. Jego czterotomowe, monumentalne dzieło Powszechna historia państwa i prawa miało istotny wpływ na sposób nauczania historii prawa w Polsce. Zmarł w Warszawie. Pochowany na Cmentarzu Stare Powązki w Warszawie.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&lt;b&gt;Koranyi Karol Wilhelm&lt;/b&gt;</dc:title>
  <dc:description/>
  <dc:subject/>
  <cp:keywords/>
  <cp:category/>
  <cp:lastModifiedBy/>
  <dcterms:created xsi:type="dcterms:W3CDTF">2026-01-11T18:50:06+00:00</dcterms:created>
  <dcterms:modified xsi:type="dcterms:W3CDTF">2026-01-11T18:50:06+00:00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