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Bartoszkiewicz Jan</w:t>
      </w:r>
    </w:p>
    <w:p>
      <w:pPr>
        <w:pStyle w:val="centerParagraph"/>
      </w:pPr>
      <w:r>
        <w:rPr>
          <w:rStyle w:val="normalStyle"/>
        </w:rPr>
        <w:t xml:space="preserve">1813-1900</w:t>
      </w:r>
    </w:p>
    <w:p>
      <w:pPr/>
      <w:r>
        <w:rPr>
          <w:rStyle w:val="normalStyle"/>
        </w:rPr>
        <w:t xml:space="preserve">ksiądz katolicki, proboszcz w Chełmnie i Szynychu, współzałożyciel organu prasowego Ligi Polskiej „Szkółka Narodowa”, poseł do sejmu pruskiego w l. 1849-1863, członek zwyczajny Towarzystwa Naukowego w Toruniu w l. 1877–1900.</w:t>
      </w:r>
    </w:p>
    <w:p/>
    <w:p>
      <w:pPr/>
      <w:r>
        <w:rPr>
          <w:rStyle w:val="normalStyle"/>
        </w:rPr>
        <w:t xml:space="preserve">Jan Nepomucen Bartoszkiewicz urodził się w 1813 r. w Pobiedziskach (pow. gnieźnieński), w rodzinie kupieckiej Piotra i Marianny z Szymańskich. Po zdaniu egzaminu dojrzałości nie od razu podjął studia teologiczne, gdyż dwa lata pełnił obowiązki nauczyciela domowego. Studiował teologię na Uniwersytecie Wrocławskim, gdzie wstąpił do Towarzystwa Literacko-Słowiańskiego (1838–1841). Pełnił w nim rolę sekretarza. W 1842 r. uzyskał tytuł licencjata teologii, mimo to nie został przyjęty na kurs praktyczny do Seminarium Duchownego w Gnieźnie. Jeden z jego wykładowców na wrocławskiej uczelni (Balzer) rozpowszechniał tezy Georga Hermesa, którego dzieła umieszczono w indeksie ksiąg zakazanych. Ze względu na ten fakt, ówczesny arcybiskup gnieźnieński Marcin Dunin domagał się od niego powtórzenia studiów. Ten jednak zgłosił się do Seminarium Duchownego w Pelplinie, w którym otrzymał święcenia kapłańskie (1843). Swoją posługę kapłańską rozpoczął jako wikary w gdańskim klasztorze świętej Brygidy, a następnie został proboszczem w Chełmnie; urząd ten pełnił przez 26 lat (1846–1872). Dla jego dalszej działalności publicznej istotny był fakt, że Chełmno było w tym czasie ośrodkiem polskiego ruchu narodowego na Pomorzu. Podczas Wiosny Ludów w l. 1848–1849 działał w Lidze Polskiej. Został współzałożycielem pierwszego na Pomorzu polskiego czasopisma politycznego „Szkółka Narodowa”. Uczestniczył w obradach Rady Prowincjonalnej w Chełmnie w 1849 r., która przygotowywała petycje do rządu pruskiego w sprawie przywrócenia Polakom pełni praw narodowych. W l. 1849–1863 trzykrotnie wybrany posłem do sejmu pruskiego. Piął się również w hierarchii kościelnej. W 1868 r. biskup chełmiński Jan Nepomucen Marwicz mianował go kanonikiem honorowym Kapituły Chełmińskiej. W 1869 r. brał czynny udział w akcji wiecowej w Chełmnie, która doprowadziła do opracowania tzw. „rezolucji chełmińskich”, domagających się języka polskiego w szkolnictwie elementarnym dla polskich dzieci. W okresie kulturkampfu zmuszony do opuszczenia parafii chełmińskiej. Osiadł jako proboszcz w Szynychu k. Chełmna (1872). Zmarł w Chełmnie w 1900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&lt;b&gt;Bartoszkiewicz Jan&lt;/b&gt;</dc:title>
  <dc:description/>
  <dc:subject/>
  <cp:keywords/>
  <cp:category/>
  <cp:lastModifiedBy/>
  <dcterms:created xsi:type="dcterms:W3CDTF">2026-03-07T04:51:22+00:00</dcterms:created>
  <dcterms:modified xsi:type="dcterms:W3CDTF">2026-03-07T04:51:22+00:00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