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Mańkowski Alfons</w:t>
      </w:r>
    </w:p>
    <w:p>
      <w:pPr>
        <w:pStyle w:val="centerParagraph"/>
      </w:pPr>
      <w:r>
        <w:rPr>
          <w:rStyle w:val="normalStyle"/>
        </w:rPr>
        <w:t xml:space="preserve">1870-1941</w:t>
      </w:r>
    </w:p>
    <w:p>
      <w:pPr/>
      <w:r>
        <w:rPr>
          <w:rStyle w:val="normalStyle"/>
        </w:rPr>
        <w:t xml:space="preserve">ksiądz katolicki, prałat papieski, historyk Pomorza, redaktor, działacz społeczny i narodowy, członek Towarzystwa Naukowego w Toruniu od 1897 r. (od 1913 r. dożywotni, od 1925 honorowy), prezes TNT w l. 1923–1941.</w:t>
      </w:r>
    </w:p>
    <w:p/>
    <w:p>
      <w:pPr/>
      <w:r>
        <w:rPr>
          <w:rStyle w:val="normalStyle"/>
        </w:rPr>
        <w:t xml:space="preserve">Urodził się w Wielkim Kuntersztynie pod Grudziądzem. W 1895 r. otrzymał święcenia kapłańskie, po czym (z powodu polityki władz pruskich) odbył wikariat w wielu miejscowościach. Opr&amp;oacute;cz działalności duszpasterskiej brał czynny udział w organizacjach kulturalnych, społecznych i politycznych. W 1906 r. wraz z innymi polskimi działaczami założył Bank Ludowy w Tczewie, a dwa lata p&amp;oacute;źniej został dyrektorem czasopisma &amp;bdquo;Rolnik&amp;rdquo;. Opiekował się stowarzyszeniami śpiewaczymi oraz organizował naukę języka polskiego dla dzieci. Aktywny w ruchu niepodległościowym. Wszedł w skład Podkomisariatu Naczelnej Rady Ludowej w Gdańsku oraz Powiatowej Rady Ludowej w Lubawie. Podczas studi&amp;oacute;w i działalności duszpasterskiej gromadził materiały dotyczące przeszłości Pomorza i ziemi chełmińskiej, tworząc bogatą bibliotekę i podręczne archiwum. Bibliografia Mańkowskiego składa się z ponad 330 pozycji historii Pomorza i diecezji chełmińskiej od XIV do XX w., dotyczących gł&amp;oacute;wnie kultury i polskości owych region&amp;oacute;w. Jako członek TNT był redaktorem naczelnym wszystkich wydawnictw, a od 1923 r&amp;oacute;wnież jego prezesem. W 1917 r. z uwagi na wzorową działalność narodową i społeczną otrzymał tytuł Prałata domowego. W czasie drugiej wojny światowej został wywieziony i umieszczony w obozie koncentracyjnym Stutthof,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Mańkowski Alfons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