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Franciszek Wawrzyniec</w:t>
      </w:r>
    </w:p>
    <w:p>
      <w:pPr>
        <w:pStyle w:val="centerParagraph"/>
      </w:pPr>
      <w:r>
        <w:rPr>
          <w:rStyle w:val="normalStyle"/>
        </w:rPr>
        <w:t xml:space="preserve">1849-1911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1897–1910.</w:t>
      </w:r>
    </w:p>
    <w:p/>
    <w:p>
      <w:pPr/>
      <w:r>
        <w:rPr>
          <w:rStyle w:val="normalStyle"/>
        </w:rPr>
        <w:t xml:space="preserve">Urodził się w Chełmnie. Mimo otrzymanych święceń w 1874 r., wskutek trwającego ówcześnie kulturkampfu nie mógł znaleźć zatrudnienia i podlegał stałym represjom. W 1886 r., po złagodzeniu restrykcji wobec Kościoła, otrzymał parafię w Nawrze. Jako proboszcz kładł nacisk na budowanie świadomości narodowej parafian, m.in. przez czynny udział w życiu publicznym. W 1892 r. organizował i przemawiał na wiecach, podczas których domagano się języka polskiego w edukacji elementarnej. Na pierwszym walnym zgromadzeniu Towarzystwa Wiecowego w 1899 r. został wybrany do zarządu, gdzie kontynuował walkę o polskie szkolnictwo elementarne. Brał także czynny udział w akcji wyborczej, zostając w 1907 r. wiceprezesem i skarbnikiem Powiatowego Komitetu Wyborczego w Toruniu. W badaniach historycznych interesował się przeszłością parafii chełmińskiej; prace publikował w „Zapiskach TNT”.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Franciszek Wawrzyniec</dc:title>
  <dc:description/>
  <dc:subject/>
  <cp:keywords/>
  <cp:category/>
  <cp:lastModifiedBy/>
  <dcterms:created xsi:type="dcterms:W3CDTF">2026-01-10T10:52:00+00:00</dcterms:created>
  <dcterms:modified xsi:type="dcterms:W3CDTF">2026-01-10T10:52:00+00:00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