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Roszczynialski Edmund</w:t>
      </w:r>
    </w:p>
    <w:p>
      <w:pPr>
        <w:pStyle w:val="centerParagraph"/>
      </w:pPr>
      <w:r>
        <w:rPr>
          <w:rStyle w:val="normalStyle"/>
        </w:rPr>
        <w:t xml:space="preserve">1888-1939</w:t>
      </w:r>
    </w:p>
    <w:p>
      <w:pPr/>
      <w:r>
        <w:rPr>
          <w:rStyle w:val="normalStyle"/>
        </w:rPr>
        <w:t xml:space="preserve">ksiądz katolicki, działacz społeczny i narodowy, członek Towarzystwa Naukowego w Toruniu w l. 1915–1939.</w:t>
      </w:r>
    </w:p>
    <w:p/>
    <w:p>
      <w:pPr/>
      <w:r>
        <w:rPr>
          <w:rStyle w:val="normalStyle"/>
        </w:rPr>
        <w:t xml:space="preserve">Urodzony w Łężycach pod Wejherowem. Po otrzymaniu święceń kapłańskich w 1913 r. został wikariuszem w Drzycimiu. W czasie pierwszej wojny światowej wcielony do armii npriskiej jako kapelan. Po powrocie z frontu w 1918 r. znalazł pracę w Grudziądzu oraz zaangażował się w liczne stowarzyszenia. Był prezesem Towarzystwa Czeladzi Katolickiej, opiekunem Towarzystwa Ludowego &amp;bdquo;Oświata&amp;rdquo; oraz sekretarzem Komisji Szkolnej Powiatowej Rady Ludowej. W l. 1920&amp;ndash;1924 pracował jako katecheta w Seminarium Nauczycielskim w Wejherowie i był wsp&amp;oacute;łzałożycielem i akcjonariuszem &amp;bdquo;Gazety Kaszubskiej&amp;rdquo;. W 1934 r. założył w Wejherowie Katolickie Stowarzyszenie im. Piotra Skargi skupiające miejscową inteligencję. Od początku lat 30. XX w. prowadził kursy haftu kaszubskiego oraz był wieloletnim prezesem wejherowskich ch&amp;oacute;r&amp;oacute;w &amp;bdquo;Harmonia&amp;rdquo; i &amp;bdquo;Cecylia&amp;rdquo;. W 1939 r. aresztowany, a następnie zamordowany w Cewicach.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Roszczynialski Edmund</dc:title>
  <dc:description/>
  <dc:subject/>
  <cp:keywords/>
  <cp:category/>
  <cp:lastModifiedBy/>
  <dcterms:created xsi:type="dcterms:W3CDTF">2026-07-06T06:54:45+00:00</dcterms:created>
  <dcterms:modified xsi:type="dcterms:W3CDTF">2026-07-06T06:54:45+00:00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