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Spandowski Paweł</w:t>
      </w:r>
    </w:p>
    <w:p>
      <w:pPr>
        <w:pStyle w:val="centerParagraph"/>
      </w:pPr>
      <w:r>
        <w:rPr>
          <w:rStyle w:val="normalStyle"/>
        </w:rPr>
        <w:t xml:space="preserve">1885-1918</w:t>
      </w:r>
    </w:p>
    <w:p>
      <w:pPr/>
      <w:r>
        <w:rPr>
          <w:rStyle w:val="normalStyle"/>
        </w:rPr>
        <w:t xml:space="preserve">ekonomista, działacz spółdzielczy, publicysta, członek zwyczajny Towarzystwa Naukowego w Toruniu w l. 1908–1917.</w:t>
      </w:r>
    </w:p>
    <w:p/>
    <w:p>
      <w:pPr/>
      <w:r>
        <w:rPr>
          <w:rStyle w:val="normalStyle"/>
        </w:rPr>
        <w:t xml:space="preserve">Urodził się w Chełmnie w rodzinie Piotra – mistrza malarskiego i Antoniny z Wysockich. Po ukończeniu szkoły ludowej kontynuował naukę w Królewskim Gimnazjum w Chełmnie, gdzie w 1904 zdał egzamin dojrzałości. W tym czasie przystąpił do konspiracyjnego ruchu filomackiego. W l. 1904–1906 studiował teologię w Seminarium Duchownym w Pelplinie a następnie nauki o państwie (elementy prawa, ekonomii i administracji) we Fryburgu Bryzgowijskim. W 1909 r. obronił doktorat na uniwersytecie w Monachium poświęcony kwestiom rozwoju organizacyjnego rzemiosła polskiego pod zaborem pruskim. Po powrocie na Pomorze pracował jako urzędnik bankowy w polskich bankach ludowych w Lubawie i Pelplinie. Od 1912 r. pełnił funkcję sekretarza a następnie zastępcy patrona Związku Spółek Zarobkowych w Poznaniu – największej centrali polskich spółek kredytowych działających pod zaborem pruskim. Na łamach „Roczników TNT” ogłosił artykuł o sposobie podniesienia potencjału gospodarczego ludności polskiej w Prusach. Publikował teksty odnoszące się do problemów ekonomicznych ziem pomorskich. Zmarł w Poznaniu. Pochowany został na cmentarzu św. Marcina.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&lt;b&gt;Spandowski&lt;/b&gt;&lt;b&gt; Paweł&lt;/b&gt;</dc:title>
  <dc:description/>
  <dc:subject/>
  <cp:keywords/>
  <cp:category/>
  <cp:lastModifiedBy/>
  <dcterms:created xsi:type="dcterms:W3CDTF">2026-01-12T02:53:41+00:00</dcterms:created>
  <dcterms:modified xsi:type="dcterms:W3CDTF">2026-01-12T02:53:41+00:00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