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Tymecki Władysław</w:t>
      </w:r>
    </w:p>
    <w:p>
      <w:pPr>
        <w:pStyle w:val="centerParagraph"/>
      </w:pPr>
      <w:r>
        <w:rPr>
          <w:rStyle w:val="normalStyle"/>
        </w:rPr>
        <w:t xml:space="preserve">1876-1946</w:t>
      </w:r>
    </w:p>
    <w:p>
      <w:pPr/>
      <w:r>
        <w:rPr>
          <w:rStyle w:val="normalStyle"/>
        </w:rPr>
        <w:t xml:space="preserve">ksiądz katolicki, proboszcz w Grążawach, dziekan lidzbarsko-pomezański, kanonik honorowy Kapituły Chełmińskiej, działacz niepodległościowy, członek zwyczajny Towarzystwa Naukowego w Toruniu w l. 1907–1921.</w:t>
      </w:r>
    </w:p>
    <w:p/>
    <w:p>
      <w:pPr/>
      <w:r>
        <w:rPr>
          <w:rStyle w:val="normalStyle"/>
        </w:rPr>
        <w:t xml:space="preserve">Urodził się w Bychwałdzie w pow. lubawskim, w rodzinie Ignacego i Magdaleny ze Szczerbowskich. Jego ojciec był właścicielem gospodarstwa rolnego. Po ukończeniu szkoły ludowej kontynuował edukację w progimnazjum w Lubawie i w Kr&amp;oacute;lewskim Gimnazjum w Brudnicy, gdzie zdał egzamin dojrzałości. W l. 1897&amp;ndash;1901 studiował teologię i filozofię w Seminarium Duchownym w Pelplinie. Po uzyskaniu święceń kapłańskich pełnił posługę duszpasterską w charakterze wikariusza w wielu parafiach na terenie diecezji chełmińskiej (m.in. w Kościerzynie, Oliwie, Borzyszkowach). W 1911 r. uzyskał nominację na proboszcza parafii pw. św. Marcina Biskupa w Grążawach. W l. 1918&amp;ndash;1920 zaangażował się w aktywność na rzecz odzyskania niepodległości, m.in. wsp&amp;oacute;łtworzył lokalną Radę Ludową, namawiał do służby w Wojsku Polskim itp. Zmarł w Grążawach.&amp;nbsp;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Tymecki Władysław</dc:title>
  <dc:description/>
  <dc:subject/>
  <cp:keywords/>
  <cp:category/>
  <cp:lastModifiedBy/>
  <dcterms:created xsi:type="dcterms:W3CDTF">2026-07-06T07:53:16+00:00</dcterms:created>
  <dcterms:modified xsi:type="dcterms:W3CDTF">2026-07-06T07:53:16+00:00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