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Wojewoda Konrad</w:t>
      </w:r>
    </w:p>
    <w:p>
      <w:pPr>
        <w:pStyle w:val="centerParagraph"/>
      </w:pPr>
      <w:r>
        <w:rPr>
          <w:rStyle w:val="normalStyle"/>
        </w:rPr>
        <w:t xml:space="preserve">1890-1933</w:t>
      </w:r>
    </w:p>
    <w:p>
      <w:pPr/>
      <w:r>
        <w:rPr>
          <w:rStyle w:val="normalStyle"/>
        </w:rPr>
        <w:t xml:space="preserve">ksiądz katolicki, notariusz Sądu Biskupiego w Pelplinie, nauczyciel, działacz społeczny, członek Towarzystwa Naukowego w Toruniu w l. 1915–1933.</w:t>
      </w:r>
    </w:p>
    <w:p/>
    <w:p>
      <w:pPr/>
      <w:r>
        <w:rPr>
          <w:rStyle w:val="normalStyle"/>
        </w:rPr>
        <w:t xml:space="preserve">Urodził się w Tczewie w rodzinie Jana i Antonii z Kotowskich. Ojciec był pracownikiem kolei. Po ukończeniu szkoły ludowej kontynuował naukę w Gdańsku i Starogardzie, gdzie w w 1910 r. w Królewskim Gimnazjum zdał egzaminy maturalne. W l. 1910–1914 studiował teologię i filozofię w Seminarium Duchownym w Pelplinie. Po otrzymaniu święceń kapłańskich pełnił posługę duszpasterską jako wikariusz na terenie diecezji chełmińskiej w Ugoszczu, Lęborku, Lignowach, w parafii pw. św. Franciszka z Asyżu w Gdańsku (Siedlce) i w kościele św. Brygidy, w l. 1920–1923 w Chełmnie. W l. 1923–1933 pracował w kurii biskupiej w Pelplinie, był m.in. notariuszem Sądu Biskupiego i nauczycielem języka polskiego w Seminarium Duchownym. W l. 1919–1920 współpracował z Podkomisariatem Naczelnej Rady Ludowej w Gdańsku w kwestii rozwoju polskiej oświaty na Pomorzu. Na terenie parafii, w których pracował, rozwijał szeroką działalność organizacyjną w duchu polskim. Zmarł w Pelplinie.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&lt;b&gt;Wojewoda Konrad&lt;/b&gt;</dc:title>
  <dc:description/>
  <dc:subject/>
  <cp:keywords/>
  <cp:category/>
  <cp:lastModifiedBy/>
  <dcterms:created xsi:type="dcterms:W3CDTF">2026-01-12T04:29:19+00:00</dcterms:created>
  <dcterms:modified xsi:type="dcterms:W3CDTF">2026-01-12T04:29:19+00:00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