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Worzałła August</w:t>
      </w:r>
    </w:p>
    <w:p>
      <w:pPr>
        <w:pStyle w:val="centerParagraph"/>
      </w:pPr>
      <w:r>
        <w:rPr>
          <w:rStyle w:val="normalStyle"/>
        </w:rPr>
        <w:t xml:space="preserve">1836-1905</w:t>
      </w:r>
    </w:p>
    <w:p>
      <w:pPr/>
      <w:r>
        <w:rPr>
          <w:rStyle w:val="normalStyle"/>
        </w:rPr>
        <w:t xml:space="preserve">ksiądz katolicki, proboszcz w Łęgu, działacz społeczny, poeta kaszubski, członek zwyczajny Towarzystwa Naukowego w Toruniu w l. 1897–1903.</w:t>
      </w:r>
    </w:p>
    <w:p/>
    <w:p>
      <w:pPr/>
      <w:r>
        <w:rPr>
          <w:rStyle w:val="normalStyle"/>
        </w:rPr>
        <w:t xml:space="preserve">Urodził się w kaszubskiej wsi Łubiana w pow. kościerskim w rodzinie chłopskiej. Po ukończeniu szkoły ludowej dzięki pomocy stypendialnej Towarzystwa Pomocy Naukowej kontynuował edukację w Gimnazjum Królewskim w Trzemesznie, gdzie wstąpił do konspiracyjnej organizacji filomackiej. W l. 1862–1866 studiował w Seminarium Duchownym w Pelplinie. Po otrzymaniu święceń kapłańskich pełnił posługę duszpasterską jako wikariusz w Czersku w parafii pw. św. Marii Magdaleny, w kościele pw. Serca Jezusowego w Radomnie (pow. lubawski), gdzie był administratorem, w Lubawie w parafii pw. św. Anny oraz w Borzyszkowach na Kaszubach. W l. 1882–1905 pełnił funkcję proboszcza parafii pw. Narodzenia Najświętszej Marii Panny w Łęgu. Przyczynił się do budowy nowego kościoła, organizował życie religijne wspólnoty, działał aktywnie na rzecz rozbudzenia i utwierdzania polskiego poczucia narodowego wśród parafian. Znany był z opowiadania humorystycznych facecji i twórczości poetyckiej. Zmarł w Łęgu, gdzie został pochowany na tamtejszym cmentarzu.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Worzałła August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