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Żyłła Karol Michał</w:t>
      </w:r>
    </w:p>
    <w:p>
      <w:pPr>
        <w:pStyle w:val="centerParagraph"/>
      </w:pPr>
      <w:r>
        <w:rPr>
          <w:rStyle w:val="normalStyle"/>
        </w:rPr>
        <w:t xml:space="preserve">1850-1911</w:t>
      </w:r>
    </w:p>
    <w:p>
      <w:pPr/>
      <w:r>
        <w:rPr>
          <w:rStyle w:val="normalStyle"/>
        </w:rPr>
        <w:t xml:space="preserve">ksiądz katolicki, proboszcz w Lipuszu, działacz społeczny, członek zwyczajny Towarzystwa Naukowego w Toruniu w l. 1908–1911.</w:t>
      </w:r>
    </w:p>
    <w:p/>
    <w:p>
      <w:pPr/>
      <w:r>
        <w:rPr>
          <w:rStyle w:val="normalStyle"/>
        </w:rPr>
        <w:t xml:space="preserve">Urodził się w Wejherowie w rzemieślniczej rodzinie krawca Franciszka i Fryderyki z domu Weizig. Po ukończeniu miejscowej szkoły ludowej edukację na szczeblu średnim kontynuował w Królewskich Gimnazjach w Wejherowie oraz Chełmnie. W l. 1873–1876 studiował w Seminarium Duchownym w Pelplinie. Po zamknięciu przez władze pelplińskiej uczelni na skutek polityki kulturkampfu, zmuszony został do podjęcia dalszej nauki w Seminarium Duchownym w bawarskiej Ratyzbonie. W czasach szkolnych i studenckich związał się z organizacjami samokształceniowymi młodzieży polskiej. Po uzyskaniu święceń kapłańskich posługę duszpasterską pełnił początkowo na terenie Bawarii, następnie jako wikariusz pracował w Pruszczu w pow. tucholskim, Nowem nad Wisłą i Skarszewach. W 1888 r. otrzymał probostwo św. Michała Archanioła w Lipuszu. Stał się tam liderem polskiego ruchu organizacyjnego, m.in. został członkiem zarządu miejscowego Kółka Rolniczego, współpracował ze „Strażą”. Od 1904 r. po przejściu na emeryturę przez kilka lat pracował jako kapelan w Klasztorze Zgromadzenia Sióstr Miłosierdzia Bożego w Bysławku. Od 1908 r. mieszkał w Tucholi, gdzie zmarł i został pochowany na tamtejszym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Żyłła Karol Michał</dc:title>
  <dc:description/>
  <dc:subject/>
  <cp:keywords/>
  <cp:category/>
  <cp:lastModifiedBy/>
  <dcterms:created xsi:type="dcterms:W3CDTF">2026-07-06T05:41:43+00:00</dcterms:created>
  <dcterms:modified xsi:type="dcterms:W3CDTF">2026-07-06T05:41:43+00:00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