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Chojnic</w:t>
      </w:r>
    </w:p>
    <w:p>
      <w:pPr/>
      <w:r>
        <w:rPr>
          <w:rStyle w:val="normalStyle"/>
        </w:rPr>
        <w:t xml:space="preserve">Magistrat miasta Chojnic, członek zwyczajny (instytucjonalny) w l. 1926-1934.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organów władzy samorządowej różniły się od pozostałych ziem polskich. Ich ustrój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członków magistratu, których liczba nie przekraczała zazwyczaj 15 osób i którzy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
Magistrat miasta Chojnic przystąpił jako członek do Towarzystwa Naukowego w sierpniu 1926 r. w celu udzielania TNT wsparcia poprzez składki wyższe niż standardowe (od 16 do 150 zł) oraz by pośredniczyć w werbowaniu członków. Magistrat najpewniej zostały skreślony z listy członków wobec niemożliwości dalszego wspierania Towarzystwa z powodu pogorszenia się finansów miasta. Podobnie sytuacja miała się z innymi miastami-członkami Towarzystwa.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Chojnic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