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Zacharewicz Witold Stanisław</w:t>
      </w:r>
    </w:p>
    <w:p>
      <w:pPr>
        <w:pStyle w:val="centerParagraph"/>
      </w:pPr>
      <w:r>
        <w:rPr>
          <w:rStyle w:val="normalStyle"/>
        </w:rPr>
        <w:t xml:space="preserve">1904-1974</w:t>
      </w:r>
    </w:p>
    <w:p>
      <w:pPr/>
      <w:r>
        <w:rPr>
          <w:rStyle w:val="normalStyle"/>
        </w:rPr>
        <w:t xml:space="preserve">Chemik, profesor Uniwersytetu Mikołaja Kopernika w Toruniu, członek zwykły TNT w l. 1947-1974</w:t>
      </w:r>
    </w:p>
    <w:p/>
    <w:p>
      <w:pPr/>
      <w:r>
        <w:rPr>
          <w:rStyle w:val="normalStyle"/>
        </w:rPr>
        <w:t xml:space="preserve">Urodził się w miejscowości Daniłowicze-Postawy (obw&amp;oacute;d witebski) w rodzinie Antoniego, urzędnika ziemskiego, i Malwiny z Woronkowicz&amp;oacute;w. W 1915 r. rozpoczął naukę w gimnazjum rosyjskim w Święcianach, a po wybuchu rewolucji został ewakuowany wraz z matką do Carycyna (ob. Wołgograd). W 1919 r. powr&amp;oacute;cił do Wilna, gdzie ukończył Państwowe Gimnazjum im. Zygmunta Augusta w 1924 r. i rozpoczął studia chemiczne na Wydziale Matematyczno-Przyrodniczym USB. Od trzeciego roku studi&amp;oacute;w pełnił funkcję zastępcy asystenta, a po ukończeniu studi&amp;oacute;w &amp;ndash; asystenta i adiunkta w Katedrze Chemii Organicznej przy Wydziale Lekarskim USB (do 1930). W 1930 r. uzyskał stopień magistra filozofii w zakresie chemii na podstawie pracy &amp;bdquo;Przyczynek do badań nad właściwościami sabinolu&amp;rdquo;. W 1933 r. otrzymał stypendium z Funduszu Kultury Niezależnej na studia we Francji. Prowadził badania w Instytucie du Pin w Bordeaux oraz w &amp;Eacute;cole Normale Sup&amp;eacute;rieure w Paryżu, koncentrując się na chemii terpen&amp;oacute;w. Rezultatem tych prac było opublikowanie kilku artykuł&amp;oacute;w naukowych oraz uzyskanie w 1935 r. doktoratu na Sorbonie na podstawie rozprawy &amp;bdquo;Syntheses dans la s&amp;eacute;rie du myrtenol&amp;rdquo;. Po powrocie do Wilna nostryfikował dyplom i ponownie podjął pracę w Katedrze Chemii Organicznej Wydziału Matematyczno-Przyrodniczym USB, przygotowując się do habilitacji. W lutym 1939 r. uzyskał veniam legendi na Wydziale Farmaceutycznym Uniwersytetu Warszawskiego. Po wybuchu wojny pracował jako adiunkt przy Katedrze Chemii Organicznej aż do momentu zamknięcia USB w grudniu tego roku. W czasie okupacji przebywał w Wilnie pracując początkowo jako robotnik leśny, potem laborant w prywatnej fabryce chemicznej, a w lipcu 1944 r. &amp;ndash; jako gł&amp;oacute;wny inżynier radzieckiej fabryki chemicznej. Po wojnie został przewodniczącym Komisji Szacunkowej przy Pełnomocniku Rządu RP ds. Ewakuacji w Litewskiej SRR. W sierpniu 1946 r. przeni&amp;oacute;sł się do Torunia obejmując stanowisko kierownika Katedry Chemii Organicznej na Wydziale Matematyczno-Przyrodniczym UMK, z kt&amp;oacute;rym był związany do końca życia. Kierował Katedrą (p&amp;oacute;źniej Zakładem) Chemii Organicznej, a także Zespołem Katedr Chemii Wydziału Matematyki, Fizyki i Chemii UMK. W 1948 r. otrzymał tytuł profesora nadzwyczajnego, a w 1957 r. profesora zwyczajnego. Łączył pracę dydaktyczną z naukową i organizacyjną: był dziekanem Wydziału Matematyczno-Przyrodniczego (1948-1950) oraz Wydziału Matematyki, Fizyki i Chemii (1956-1959, 1964-1968), prodziekanem (1950/1951 i 1951/1952) oraz prorektorem UMK (1952-1954). Jego dorobek obejmuje 62 publikacje naukowe z zakresu fitochemii, szczeg&amp;oacute;lnie terpen&amp;oacute;w acyklicznych i cyklicznych. Angażował się w działalność społeczną i polityczną: wsp&amp;oacute;łorganizował Oddział Pomorski Polskiego Towarzystwa Chemicznego, działał także w Towarzystwie Wiedzy Powszechnej, Radzie Gł&amp;oacute;wnej Szkolnictwa Wyższego, Komisji ds. Popierania Tw&amp;oacute;rczości Naukowej i Artystycznej przy Radzie Ministr&amp;oacute;w. Był członkiem PZPR, a w l. 1952-1956 posłem na Sejm PRL.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&lt;b&gt;Zacharewicz Witold &lt;/b&gt;&lt;b&gt;Stanisław&lt;/b&gt;</dc:title>
  <dc:description/>
  <dc:subject/>
  <cp:keywords/>
  <cp:category/>
  <cp:lastModifiedBy/>
  <dcterms:created xsi:type="dcterms:W3CDTF">2026-07-06T16:15:20+00:00</dcterms:created>
  <dcterms:modified xsi:type="dcterms:W3CDTF">2026-07-06T16:15:20+00:00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