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Gończ Bernard </w:t>
      </w:r>
    </w:p>
    <w:p>
      <w:pPr>
        <w:pStyle w:val="centerParagraph"/>
      </w:pPr>
      <w:r>
        <w:rPr>
          <w:rStyle w:val="normalStyle"/>
        </w:rPr>
        <w:t xml:space="preserve">1877-1940</w:t>
      </w:r>
    </w:p>
    <w:p>
      <w:pPr/>
      <w:r>
        <w:rPr>
          <w:rStyle w:val="normalStyle"/>
        </w:rPr>
        <w:t xml:space="preserve">ksiądz katolicki, proboszcz w Luzinie, ofiara zbrodni niemieckich, członek zwyczajny TNT w l. 1906-1921.</w:t>
      </w:r>
    </w:p>
    <w:p/>
    <w:p>
      <w:pPr/>
      <w:r>
        <w:rPr>
          <w:rStyle w:val="normalStyle"/>
        </w:rPr>
        <w:t xml:space="preserve">Urodzony w Kościerzynie, syn murarza J&amp;oacute;zefa i Marianny. Uczeń Kr&amp;oacute;lewskiego Progimanzjum w Kościerzynie (w l. 1890-1898) i Kr&amp;oacute;lewskiego Katolickiego Gimnazjum Męskiego w Chełmnie. W trakcie nauki zaangażował się w działalność koła Filomat&amp;oacute;w Pomorskich. Z organizacji został jednak wyrzucony za zaniedbanie obowiązk&amp;oacute;w. Przyczynił się do aresztowania członk&amp;oacute;w organizacji, składając obciążające zeznania podczas toruńskiego procesu filomat&amp;oacute;w pomorskich (1901 r.). W 1905 r. zakończył studia teologiczne w Seminarium Duchownym w Pelplinie, otrzymując święcenia kapłańskie. Wikary w Debrznie, Lęgu, Radawnicy i Gdańsku oraz kuratus w Borowym Młynie. Od 1920 r. proboszcz w Luzinie. Po wkroczeniu Niemc&amp;oacute;w aresztowany w 1940 r. i osadzony w Wejherowie i obozie KL Stutthof i KL Sachsenhausen. Rozstrzelany w lipcu 1940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&lt;b&gt;Gończ Bernard &lt;/b&gt;</dc:title>
  <dc:description/>
  <dc:subject/>
  <cp:keywords/>
  <cp:category/>
  <cp:lastModifiedBy/>
  <dcterms:created xsi:type="dcterms:W3CDTF">2026-07-06T05:34:17+00:00</dcterms:created>
  <dcterms:modified xsi:type="dcterms:W3CDTF">2026-07-06T05:34:17+00:00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