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Kirstein Paweł</w:t>
      </w:r>
    </w:p>
    <w:p>
      <w:pPr>
        <w:pStyle w:val="centerParagraph"/>
      </w:pPr>
      <w:r>
        <w:rPr>
          <w:rStyle w:val="normalStyle"/>
        </w:rPr>
        <w:t xml:space="preserve">1883-1939</w:t>
      </w:r>
    </w:p>
    <w:p>
      <w:pPr/>
      <w:r>
        <w:rPr>
          <w:rStyle w:val="normalStyle"/>
        </w:rPr>
        <w:t xml:space="preserve">ksiądz katolicki, doktor teologii, szambelan papieski, nauczyciel, działacz spłeczny, męczennik II wojny światowej, członek zwyczajny TNT w l. 1920-1921</w:t>
      </w:r>
    </w:p>
    <w:p/>
    <w:p>
      <w:pPr/>
      <w:r>
        <w:rPr>
          <w:rStyle w:val="normalStyle"/>
        </w:rPr>
        <w:t xml:space="preserve">Urodził się w Zaskoczu w powiecie wąbrzeskim. Jego rodzicami byli nauczyciel J&amp;oacute;zef i Anastazja z domu Kruszyńska. Nauki pobierał w pelplińskim Collegium Marianum, a p&amp;oacute;źniej w gimnazjum chełmińskim. Tam w 1905 r. zdał egzamin dojrzałości. Podjął studia w pelplińskim Seminarium Duchownym, kt&amp;oacute;re ukończył przyjęciem święceń kapłańskich w 1909 r. Doświadczenie w pracy duszpasterskiej zdobywał jako wikary parafii w Debrznie i Gdańsku, skąd trafił do Kościerzyny. W l. 1911-1920 pełnił funkcję katechety w tamtejszym Seminarium Nauczycielskim. Następnie uczył języka hebrajskiego i geografii w progimnazjum. W 1912 r. zdał egzamin uprawniający do nauczania w szkole średniej i podjął dalsze studia we Fryburgu. Tam na podstawie rozprawy pt. &amp;bdquo;Die Gemeinschaft der Heiligen nach der Lehre des hl. Tomas von Aquin&amp;rdquo; uzyskał tytuł doktora teologii w 1917 r. w latach I wojny światowej był kapelanem dywizyjnym w armii niemieckiej. W 1919 r. kr&amp;oacute;tko pełnił funkcję dyrektora Seminarium Nauczycielskiego w Kościerzynie. W 1920 r. został członkiem TNT. Odrodzona Polska zastała go na stanowisku dyrektora i katechety gimnazjum w Chojnicach (1920-1928). W 1928 r. za swe edukacyjne zaangażowanie został odznaczony godnością szambelana papieskiego. Do tego czasu był gł&amp;oacute;wnie zaangażowany w działalność edukacyjną. Dlatego dopiero w 1928 r. objął stanowisko proboszcza parafii Najświętszej Maryi Panny w Toruniu. Odtąd spisywał swoje kazania w pracy pt. &amp;bdquo;Argue, obsecra, increpa czyli Słowo Boże na ambonie&amp;rdquo;, kt&amp;oacute;rą opublikował w dw&amp;oacute;ch tomach. Od lat 20. XX wieku jego kariera nabierała tempa, czego przykładem było objęcie w 1929 r. stanowiska dyrektora pelplińskiego Collegium Marianum. Siedem lat p&amp;oacute;źniej zorganizował obchody 100-lecia Collegium Marianum. W latach 1929-1931 był redaktorem odpowiedzialnym tygodnika &amp;bdquo;Wiadomości Kościelne parafji N. M. Panny&amp;rdquo;. Prowadził r&amp;oacute;wnież zajęcia w Seminarium Duchownym - teologię dogmatyczną i teologię pastoralną z liturgią w latach 1931-1935. Lata 30. XX wieku to okres pełnienia obowiązk&amp;oacute;w kanonika gremialnego Kapituły Katedralnej, egzaminatora synodalnego, sędziego prosynodalnego, działalność w Stowarzyszeniu im. Piotra Skargi. Jeszcze przed wybuchem II wojny światowej w 1939 r. opublikował pracę pt. &amp;bdquo;Laicy w Kościele Chrystusowym dawniej i obecnie&amp;rdquo;. W październiku 1939 r. został aresztowany przez Niemc&amp;oacute;w i stracony w zbiorowej egzekucji. W 1945 r. jego zwłoki zostały ekshumowane i pochowane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&lt;b&gt;Kirstein&lt;/b&gt;&lt;b&gt; Paweł&lt;/b&gt;</dc:title>
  <dc:description/>
  <dc:subject/>
  <cp:keywords/>
  <cp:category/>
  <cp:lastModifiedBy/>
  <dcterms:created xsi:type="dcterms:W3CDTF">2026-01-11T18:49:49+00:00</dcterms:created>
  <dcterms:modified xsi:type="dcterms:W3CDTF">2026-01-11T18:49:49+00:00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