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Kujot Stanisław</w:t>
      </w:r>
    </w:p>
    <w:p>
      <w:pPr>
        <w:pStyle w:val="centerParagraph"/>
      </w:pPr>
      <w:r>
        <w:rPr>
          <w:rStyle w:val="normalStyle"/>
        </w:rPr>
        <w:t xml:space="preserve">1845-1914</w:t>
      </w:r>
    </w:p>
    <w:p>
      <w:pPr/>
      <w:r>
        <w:rPr>
          <w:rStyle w:val="normalStyle"/>
        </w:rPr>
        <w:t xml:space="preserve">ksiądz katolicki, historyk, działacz społeczny, wikariusz w Gniewie, proboszcz w Grzybnie, współzałożyciel TNT,  wiceprezes I Wydziału Historyczno-Archeologicznego TNT w l. 1875-1884, prezes TNT w l. 1897-1914.</w:t>
      </w:r>
    </w:p>
    <w:p/>
    <w:p>
      <w:pPr/>
      <w:r>
        <w:rPr>
          <w:rStyle w:val="normalStyle"/>
        </w:rPr>
        <w:t xml:space="preserve">Urodził się we wsi Kiełpin w pow. tucholskim. Był synem Piotra i Barbary z Osowickich. Ojciec był nauczycielem szkoły ludowej i przejawiał zainteresowania historyczne, kt&amp;oacute;re zaszczepił synowi. Po ukończeniu edukacji na szczeblu podstawowym S. Kujot rozpoczął naukę w Kr&amp;oacute;lewskim Gimnazjum w Chojnicach w l. 1862-63 a następnie w Chełmnie w l. 1863-65. W tym czasie był stypendystą Towarzystwa Pomocy Naukowej. Po złożeniu egzaminu maturalnego rozpoczął studia teologiczne w Seminarium Duchownym w Pelplinie. W l. 1868-69 oraz 1870-71 był słuchaczem wykład&amp;oacute;w z teologii i filozofii na Uniwersytecie w M&amp;uuml;nster a w l. 1869-70 studiował historię na Uniwersytecie Fryderyka Wilhelma w Berlinie. Był w&amp;oacute;wczas uczniem m.in. Leopolda von Rankego i Johanna Droysena. Studia historyczne utwierdziły w nim pasję do badań nad przeszłością. Sakrament kapłaństwa otrzymał 10 IV 1870 r. w Pelplinie. W l. 1870-72 pełnił posługę wikarego w parafii pw. św. Mikołaja w Gniewie. W l. 1872-1893 był nauczycielem w progimnazjum biskupim Collegium Marianum w Pelplinie, gdzie wykładał dzieje powszechne i historię literatury polskiej. Cieszył się dużym autorytetem wśr&amp;oacute;d uczni&amp;oacute;w i kleryk&amp;oacute;w Seminarium Duchownego i dał się poznać jako krzewiciel polskości i patriota. W okresie pelplińskim zaangażował się w pracę społeczną uczestnicząc w pracach organizacji o charakterze kulturalnym i oświatowym (przede wszystkim w TPN). W 1875 r. wsp&amp;oacute;łtworzył TNT, w l. 1875-97 pełnił funkcję zastępcy przewodniczącego I Wydziału Historyczno-Archeologicznego i był odpowiedzialny za działalność wydawniczą TNT (redagował &amp;bdquo;Roczniki TNT&amp;rdquo;). Blisko wsp&amp;oacute;łpracował w Wojciechem Kętrzyńskim i prowadził rozległe badania dziejami średniowiecznymi ziem pomorskich otwarcie przeciwstawiając się narracji prusko-niemieckiej polityki historycznej w tym zakresie. W 1893 r. ze względu na stan zdrowia (ciężka choroba płuc), po rezygnacji z pracy dydaktycznej w Pelplinie i został mianowany proboszczem parafii pw. Michała Archanioła w Grzybnie (pow. chełmiński). Funkcję tę sprawował do śmierci. W 1897 r. został wybrany prezesem zarządu TNT, dzięki jego zaangażowaniu, energii oraz licznym kontaktom w polskim świecie naukowym przyczynił się do podźwignięcia Towarzystwa z czasowej zapaści. Czuwał nad regularną edycją wydawnictw TNT, zainicjował w 1908 r. wydawanie kwartalnika &amp;bdquo;Zapiski TNT&amp;rdquo; (obecnie &amp;bdquo;Zapiski Historyczne&amp;rdquo;). W tym czasie kontynuował badania historyczne, kt&amp;oacute;rych wyniki publikował w postaci monografii, studi&amp;oacute;w przyczynkarskich oraz edycji źr&amp;oacute;dłowych. W 1880 r. uczestniczył w og&amp;oacute;lnopolskim zjeździe historyk&amp;oacute;w w Krakowie, od 1884 r. był członkiem Komisji Historycznej Akademii Umiejętności w Krakowie, a od 1892 r. członkiem Wydziału Historycznego TPN. W 1900 r. otrzymał tytuł doktora honoris causa UJ. Brał czynny udział w przygotowaniach do jubileuszu 500-lecia bitwy pod Grunwaldem w 1910 r., kt&amp;oacute;ry był ważnym wydarzeniem patriotycznym na skalę og&amp;oacute;lnokrajową. Przejawiał aktywność w dziedzinie życia polityczno-społecznego, w 1903 r. krytycznie odni&amp;oacute;sł się do kandydatury przedstawiciela ruchu ludowego Wiktora Kulerskiego w wyborach do Parlamentu Rzeszy. Obok pisarstwa historycznego tworzył też dzieła literackie o moralizatorskim charakterze, kt&amp;oacute;ra miała wśr&amp;oacute;d czytelnik&amp;oacute;w ukształtować wzorce patriotyczne i chrześcijańskie. Zmarł w Grzybnie,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Kujot Stanisław</dc:title>
  <dc:description/>
  <dc:subject/>
  <cp:keywords/>
  <cp:category/>
  <cp:lastModifiedBy/>
  <dcterms:created xsi:type="dcterms:W3CDTF">2026-07-06T06:51:03+00:00</dcterms:created>
  <dcterms:modified xsi:type="dcterms:W3CDTF">2026-07-06T06:51:03+00:00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