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Bukolt Augustyn</w:t>
      </w:r>
    </w:p>
    <w:p>
      <w:pPr>
        <w:pStyle w:val="centerParagraph"/>
      </w:pPr>
      <w:r>
        <w:rPr>
          <w:rStyle w:val="normalStyle"/>
        </w:rPr>
        <w:t xml:space="preserve">1873-1939</w:t>
      </w:r>
    </w:p>
    <w:p>
      <w:pPr/>
      <w:r>
        <w:rPr>
          <w:rStyle w:val="normalStyle"/>
        </w:rPr>
        <w:t xml:space="preserve">ksiądz katolicki, proboszcz w Piasecznie, męczennik II wojny światowej, członek zwyczajny Towarzystwa Naukowego w Toruniu w l. 1899–1920.</w:t>
      </w:r>
    </w:p>
    <w:p/>
    <w:p>
      <w:pPr/>
      <w:r>
        <w:rPr>
          <w:rStyle w:val="normalStyle"/>
        </w:rPr>
        <w:t xml:space="preserve">Urodził się w Gościeradzu (pow. bydgoski). Jego rodzicami byli rolnik Józef i Marianna z domu Kędzierska. Nauki pobierał w Collegium Marianum oraz chełmińskim gimnazjum, w którym zdał egzamin dojrzałości w 1895 r. Następnie studiował w pelplińskim Seminarium Duchownym, gdzie w 1899 r. przyjął święcenia kapłańskie. Doświadczenie w pracy duszpasterskiej zdobywał jako wikary w toruńskiej parafii pw. Najświętszej Maryi Panny. W l. 1900–1905 z powodu choroby przebywał u rodziców w Gościeradzu. Następnie pracował w Grążawach i Kurzętniku, w którym od 1910 r. zarządzał parafią. Był również wikarym w Chełmoniu. W l. 1912–1920 aktywnie działał w Chełmnie, Kijewie i Radzynie. W 1920 r. objął funkcję proboszcza w Piasecznie. Był także kustoszem Sanktuarium Maryjnego. Po wybuchu drugiej wojny światowej został aresztowany przez Niemców i więziony w Gniewie. W listopadzie 1939 r. rozstrzelany w Lesie Szpęgawskim k. Starogardu Gdańskiego.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&lt;b&gt;Bukolt&lt;/b&gt;&lt;b&gt; Augustyn&lt;/b&gt;</dc:title>
  <dc:description/>
  <dc:subject/>
  <cp:keywords/>
  <cp:category/>
  <cp:lastModifiedBy/>
  <dcterms:created xsi:type="dcterms:W3CDTF">2026-03-07T06:17:44+00:00</dcterms:created>
  <dcterms:modified xsi:type="dcterms:W3CDTF">2026-03-07T06:17:44+00:00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