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Ludwik</w:t>
      </w:r>
    </w:p>
    <w:p>
      <w:pPr>
        <w:pStyle w:val="centerParagraph"/>
      </w:pPr>
      <w:r>
        <w:rPr>
          <w:rStyle w:val="normalStyle"/>
        </w:rPr>
        <w:t xml:space="preserve">1881-1960</w:t>
      </w:r>
    </w:p>
    <w:p>
      <w:pPr/>
      <w:r>
        <w:rPr>
          <w:rStyle w:val="normalStyle"/>
        </w:rPr>
        <w:t xml:space="preserve">ksiądz katolicki, proboszcz w Lipnikach, działacz niepodległościowy i społeczny, członek zwyczajny Towarzystwa Naukowego w Toruniu w l. 1909–1921.</w:t>
      </w:r>
    </w:p>
    <w:p/>
    <w:p>
      <w:pPr/>
      <w:r>
        <w:rPr>
          <w:rStyle w:val="normalStyle"/>
        </w:rPr>
        <w:t xml:space="preserve">Urodzony we wsi Brzozie Lubawskie koło Brodnicy, syn nauczyciela i organisty Józefa oraz Katarzyny. Uczeń Collegium Marianum w Pelplinie (1894–1891) oraz Królewskiego Katolickiego Gimnazjum Męskiego w Chełmnie, które ukończył w 1904 r. W 1908 r. ukończył studia teologiczne w Seminarium Duchownym w Pelplinie, otrzymując święcenia kapłańskie. Został wikarym w Pączewie, a następnie w Kielnie, Rumianie. Kierował utworzoną w 1913 r. kuracją w Koszelewach (1913–1925), a później kuracją w Mikołajkach (1925–1947). Podczas pierwszej wojny światowej działał na rzecz sprawy narodowej oraz odbudowy Koszelewów zniszczonych podczas bitwy pod Tannenbergiem (1914). Angażował się w pracę społeczną; był członkiem Powiatowej Rady Ludowej (1918–1920) i Wydziału Powiatowego w Lubawie (1930). Za tę aktywność otrzymał Złoty „Krzyż Zasług”. W 1947 r. mianowany proboszczem w Lipinkach, gdzie zmarł w 1960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&lt;b&gt;Chyliński Ludwik&lt;/b&gt;</dc:title>
  <dc:description/>
  <dc:subject/>
  <cp:keywords/>
  <cp:category/>
  <cp:lastModifiedBy/>
  <dcterms:created xsi:type="dcterms:W3CDTF">2026-03-07T06:16:56+00:00</dcterms:created>
  <dcterms:modified xsi:type="dcterms:W3CDTF">2026-03-07T06:16:56+00:00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