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Adam</w:t>
      </w:r>
    </w:p>
    <w:p>
      <w:pPr>
        <w:pStyle w:val="centerParagraph"/>
      </w:pPr>
      <w:r>
        <w:rPr>
          <w:rStyle w:val="normalStyle"/>
        </w:rPr>
        <w:t xml:space="preserve">1870-1956</w:t>
      </w:r>
    </w:p>
    <w:p>
      <w:pPr/>
      <w:r>
        <w:rPr>
          <w:rStyle w:val="normalStyle"/>
        </w:rPr>
        <w:t xml:space="preserve">ziemianin, działacz społeczno-polityczny, starosta powiatowy, właściciel majątku ziemskiego w Zakrzewku (pow. toruński), członek zwykły Towarzystwa Naukowego w Toruniu w l. 1905–1929.</w:t>
      </w:r>
    </w:p>
    <w:p/>
    <w:p>
      <w:pPr/>
      <w:r>
        <w:rPr>
          <w:rStyle w:val="normalStyle"/>
        </w:rPr>
        <w:t xml:space="preserve">Urodził się 29 września 1870 r. w Zakrzewku, w rodzinie ziemiańskiej Leona i Bronisławy z Mazowieckich. Po studiach rolniczych i ekonomicznych w Berlinie objął gospodarowanie rodzinnym majątkiem ziemskim w Zakrzewku pod Toruniem. Był aktywnym członkiem Rady Patronackiej Kółek Rolniczych, wicepatronem w pow. toruńskim i wąbrzeskim. W l. 1912–1918 był prezesem Powiatowego Komitetu Wyborczego w Toruniu. W 1918 r. pełnił funkcję prezesa Powiatowej Rady Ludowej w Toruniu. W 1919 r. w swoim dworze zorganizował punkt przerzutu ochotników do Armii Wielkopolskiej, za co wraz z żoną był krótko aresztowany. W odrodzonej Polsce powołany został do administracji rządowej jako starosta powiatowy – w l. 1920–1926 w Toruniu, a w l. 1926–1929 w Grudziądzu. W 1930 r. został mianowany szambelanem papieskim przez papieża Piusa XI. Na emeryturze gospodarował z sukcesami swoim majątkiem ziemskim i pozostawał czynnym członkiem zarządów wielu organizacji społecznych. Z początkiem drugiej wojny światowej został na krótko aresztowany; zwolniony na wniosek niemieckich sąsiadów. Wywłaszczony z Zakrzewka w 1941 r., zarządzał nieodległym majątkiem ziemskim w Borku (pow. toruński). Po wojnie powrócił do rodzinnego Zakrzewka, skąd został wyrzucony i powtórnie wywłaszczony przez nowe władze komunistyczne Polski. Zamieszkał w Chełmży, gdzie zmarł 30 kwietnia 1956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Adam&lt;/b&gt;</dc:title>
  <dc:description/>
  <dc:subject/>
  <cp:keywords/>
  <cp:category/>
  <cp:lastModifiedBy/>
  <dcterms:created xsi:type="dcterms:W3CDTF">2026-03-07T07:02:01+00:00</dcterms:created>
  <dcterms:modified xsi:type="dcterms:W3CDTF">2026-03-07T07:02:01+00:00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